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222</w:t>
      </w:r>
    </w:p>
    <w:p>
      <w:r>
        <w:t>Bundesgericht (BGE), 1993-09-28, FR</w:t>
      </w:r>
    </w:p>
    <w:p>
      <w:r>
        <w:rPr>
          <w:b/>
        </w:rPr>
        <w:t xml:space="preserve">Quelle: </w:t>
      </w:r>
      <w:r>
        <w:t>https://mcp.opencaselaw.ch/entscheid/bge_119 IV 222</w:t>
      </w:r>
    </w:p>
    <w:p>
      <w:r>
        <w:t>FR: ATF 119 IV 222</w:t>
      </w:r>
    </w:p>
    <w:p>
      <w:r>
        <w:t>IT: DTF 119 IV 222</w:t>
      </w:r>
    </w:p>
    <w:p>
      <w:pPr>
        <w:pStyle w:val="Heading2"/>
      </w:pPr>
      <w:r>
        <w:t>Regeste</w:t>
      </w:r>
    </w:p>
    <w:p>
      <w:r>
        <w:t>Regeste Art. 185 Ziff. 4 StGB; Geiselnahme; Strafmilderung zu Gunsten des Täters, der das Opfer freigelassen hat. In den Genuss dieser Bestimmung kommt nicht nur, wer von der Nötigung aus eigenem Antrieb zurückgetreten ist; ihre Anwendung ist jedoch ausgeschlossen, wenn der Täter die Geisel freigelassen hat, weil er an der Weiterführung der Nötigung kein Interesse mehr hatte (E. 2).</w:t>
      </w:r>
    </w:p>
    <w:p>
      <w:pPr>
        <w:pStyle w:val="Heading2"/>
      </w:pPr>
      <w:r>
        <w:t>Erwägungen</w:t>
      </w:r>
    </w:p>
    <w:p>
      <w:r>
        <w:rPr>
          <w:b/>
        </w:rPr>
        <w:t>E. 2</w:t>
      </w:r>
    </w:p>
    <w:p>
      <w:r>
        <w:t>Conformément à l' art. 185 CP , se rend coupable de prise d'otage "celui qui aura séquestré, enlevé une personne ou de toute autre façon s'en sera rendu maître, pour contraindre un tiers à faire, à ne pas faire ou à laisser faire un acte". L'alinéa 4 prévoit que la peine pourra être atténuée lorsque l'auteur aura renoncé à la contrainte et libéré la victime. En l'espèce, le recourant s'est rendu maître d'un des clients de la poste afin de contraindre les policiers à cesser toute tentative d'empêcher sa fuite à bord d'une automobile. N'étant pas parvenu à mettre le véhicule en marche, il a modifié ses plans et a cherché à fuir dans un premier temps avec une motocyclette puis, dans un deuxième temps, à pied. Le recourant a alors tenté de fuir sans l'otage, parce que celui-ci ne faisait plus que l'entraver, voire parce qu'il ne lui était pas possible de faire ressortir l'otage de la voiture. La question se pose dès lors de savoir si l' art. 185 ch. 4 CP est applicable dans de telles circonstances. La condition première pour que l'on puisse considérer que l'auteur a renoncé à la contrainte est que la poursuite de la prise d'otage ait été possible. Celui qui met fin à la prise d'otage parce qu'au vu de l'évolution de la situation celle-ci ne s'avère plus propre à lui permettre d'atteindre son but ne renonce pas (voir REHBERG, Strafrecht III, 5e éd., p. 239). Certes, le bénéfice de l' art. 185 ch. 4 CP n'est pas réservé uniquement à celui qui a agi de son propre chef. Cette disposition tend en effet notamment à favoriser des tractations en vue de la libération de la victime en indiquant à l'auteur la possibilité de bénéficier d'une telle réduction de peine (REHBERG, op.cit., loc.cit.; SCHUBARTH, Bes. Teil III, Art. 185 N. 27; STRATENWERTH, Bes. Teil I, 4e éd., p. 124; TRECHSEL, Kurzkommentar, n. 8 ad art. 185). Il n'y a en revanche pas lieu d'en faire profiter un délinquant qui met fin à la prise d'otage parce que celle-ci ne lui est plus d'aucune utilité au vu du tour pris par les événements. Ce que l'auteur d'une infraction voulait ou avait l'intention de faire relève des constatations de fait ( ATF 118 IV 174 consid. 4, ATF 117 IV 286 , ATF 116 IV 145 consid. c et les arrêts cités). En l'espèce, la cour cantonale a admis que le recourant, en abandonnant l'otage dans la voiture, n'avait eu que le désir de fuir, qu'il ne s'était plus du tout préoccupé de l'otage et que sa volonté n'était pas de le libérer, mais uniquement d'échapper aux policiers. Dès lors, l'argumentation du recourant, qui soutient avoir désiré et décidé la libération de l'otage, BGE 119 IV 222 S. 224 repose sur un autre état de fait que celui qui ressort de l'arrêt attaqué et est pour ce motif irrecevable ( ATF 115 IV 41 consid. 3a, ATF 106 IV 340 consid. 1). Le recourant ne cherche en réalité qu'à substituer sa version des faits à celle de l'autorité cantonale, ce qui n'est pas admissible.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